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BE" w:rsidRPr="00064CBE" w:rsidRDefault="00064CBE" w:rsidP="00064CBE">
      <w:pPr>
        <w:spacing w:before="100" w:beforeAutospacing="1" w:after="100" w:afterAutospacing="1" w:line="240" w:lineRule="auto"/>
        <w:jc w:val="left"/>
        <w:rPr>
          <w:rFonts w:eastAsia="Times New Roman"/>
          <w:sz w:val="22"/>
          <w:szCs w:val="22"/>
          <w:lang w:eastAsia="pt-BR"/>
        </w:rPr>
      </w:pPr>
      <w:r w:rsidRPr="00064CBE">
        <w:rPr>
          <w:rFonts w:eastAsia="Times New Roman"/>
          <w:sz w:val="22"/>
          <w:szCs w:val="22"/>
          <w:lang w:eastAsia="pt-BR"/>
        </w:rPr>
        <w:t>Prezado fornecedor, boa tarde!</w:t>
      </w:r>
      <w:r w:rsidRPr="00064CBE">
        <w:rPr>
          <w:rFonts w:eastAsia="Times New Roman"/>
          <w:sz w:val="22"/>
          <w:szCs w:val="22"/>
          <w:lang w:eastAsia="pt-BR"/>
        </w:rPr>
        <w:br/>
      </w:r>
      <w:r w:rsidRPr="00064CBE">
        <w:rPr>
          <w:rFonts w:eastAsia="Times New Roman"/>
          <w:sz w:val="22"/>
          <w:szCs w:val="22"/>
          <w:lang w:eastAsia="pt-BR"/>
        </w:rPr>
        <w:br/>
        <w:t>Em virtude de seu pedido de </w:t>
      </w:r>
      <w:r w:rsidRPr="00140AD8">
        <w:rPr>
          <w:rFonts w:eastAsia="Times New Roman"/>
          <w:sz w:val="22"/>
          <w:szCs w:val="22"/>
          <w:lang w:eastAsia="pt-BR"/>
        </w:rPr>
        <w:t>impugnação</w:t>
      </w:r>
      <w:r w:rsidRPr="00064CBE">
        <w:rPr>
          <w:rFonts w:eastAsia="Times New Roman"/>
          <w:sz w:val="22"/>
          <w:szCs w:val="22"/>
          <w:lang w:eastAsia="pt-BR"/>
        </w:rPr>
        <w:t xml:space="preserve"> ao instrumento convocatório do Pregão </w:t>
      </w:r>
      <w:r w:rsidRPr="00140AD8">
        <w:rPr>
          <w:rFonts w:eastAsia="Times New Roman"/>
          <w:sz w:val="22"/>
          <w:szCs w:val="22"/>
          <w:lang w:eastAsia="pt-BR"/>
        </w:rPr>
        <w:t>11</w:t>
      </w:r>
      <w:r w:rsidRPr="00064CBE">
        <w:rPr>
          <w:rFonts w:eastAsia="Times New Roman"/>
          <w:sz w:val="22"/>
          <w:szCs w:val="22"/>
          <w:lang w:eastAsia="pt-BR"/>
        </w:rPr>
        <w:t>/20</w:t>
      </w:r>
      <w:r w:rsidRPr="00140AD8">
        <w:rPr>
          <w:rFonts w:eastAsia="Times New Roman"/>
          <w:sz w:val="22"/>
          <w:szCs w:val="22"/>
          <w:lang w:eastAsia="pt-BR"/>
        </w:rPr>
        <w:t>20</w:t>
      </w:r>
      <w:r w:rsidRPr="00064CBE">
        <w:rPr>
          <w:rFonts w:eastAsia="Times New Roman"/>
          <w:sz w:val="22"/>
          <w:szCs w:val="22"/>
          <w:lang w:eastAsia="pt-BR"/>
        </w:rPr>
        <w:t xml:space="preserve"> cujo objeto é a </w:t>
      </w:r>
      <w:r w:rsidRPr="00140AD8">
        <w:rPr>
          <w:rFonts w:eastAsia="Times New Roman"/>
          <w:sz w:val="22"/>
          <w:szCs w:val="22"/>
          <w:lang w:eastAsia="pt-BR"/>
        </w:rPr>
        <w:t xml:space="preserve">AQUISIÇÃO DE RELÓGIO DE PONTO BIOMÉTRICO DIGITAL A SEREM INSTALADOS NAS DIVERSAS SECRETARIAS MUNICIPAIS DESTE MUNICÍPIO CONFORME ESPECIFICADO NO EDITAL E SEUS ANEXOS, </w:t>
      </w:r>
      <w:r w:rsidRPr="00064CBE">
        <w:rPr>
          <w:rFonts w:eastAsia="Times New Roman"/>
          <w:sz w:val="22"/>
          <w:szCs w:val="22"/>
          <w:lang w:eastAsia="pt-BR"/>
        </w:rPr>
        <w:t>expomos:</w:t>
      </w:r>
      <w:r w:rsidRPr="00064CBE">
        <w:rPr>
          <w:rFonts w:eastAsia="Times New Roman"/>
          <w:sz w:val="22"/>
          <w:szCs w:val="22"/>
          <w:lang w:eastAsia="pt-BR"/>
        </w:rPr>
        <w:br/>
      </w:r>
      <w:r w:rsidRPr="00064CBE">
        <w:rPr>
          <w:rFonts w:eastAsia="Times New Roman"/>
          <w:sz w:val="22"/>
          <w:szCs w:val="22"/>
          <w:lang w:eastAsia="pt-BR"/>
        </w:rPr>
        <w:br/>
        <w:t>A apresentação da </w:t>
      </w:r>
      <w:r w:rsidRPr="00140AD8">
        <w:rPr>
          <w:rFonts w:eastAsia="Times New Roman"/>
          <w:sz w:val="22"/>
          <w:szCs w:val="22"/>
          <w:lang w:eastAsia="pt-BR"/>
        </w:rPr>
        <w:t>impugnação</w:t>
      </w:r>
      <w:r w:rsidRPr="00064CBE">
        <w:rPr>
          <w:rFonts w:eastAsia="Times New Roman"/>
          <w:sz w:val="22"/>
          <w:szCs w:val="22"/>
          <w:lang w:eastAsia="pt-BR"/>
        </w:rPr>
        <w:t> atendeu aos requisitos fixados na cláusula</w:t>
      </w:r>
      <w:r w:rsidRPr="00140AD8">
        <w:rPr>
          <w:rFonts w:eastAsia="Times New Roman"/>
          <w:sz w:val="22"/>
          <w:szCs w:val="22"/>
          <w:lang w:eastAsia="pt-BR"/>
        </w:rPr>
        <w:t xml:space="preserve"> 8</w:t>
      </w:r>
      <w:r w:rsidRPr="00064CBE">
        <w:rPr>
          <w:rFonts w:eastAsia="Times New Roman"/>
          <w:sz w:val="22"/>
          <w:szCs w:val="22"/>
          <w:lang w:eastAsia="pt-BR"/>
        </w:rPr>
        <w:t xml:space="preserve"> do Edital do </w:t>
      </w:r>
      <w:r w:rsidRPr="00140AD8">
        <w:rPr>
          <w:rFonts w:eastAsia="Times New Roman"/>
          <w:sz w:val="22"/>
          <w:szCs w:val="22"/>
          <w:lang w:eastAsia="pt-BR"/>
        </w:rPr>
        <w:t xml:space="preserve">referido </w:t>
      </w:r>
      <w:r w:rsidRPr="00064CBE">
        <w:rPr>
          <w:rFonts w:eastAsia="Times New Roman"/>
          <w:sz w:val="22"/>
          <w:szCs w:val="22"/>
          <w:lang w:eastAsia="pt-BR"/>
        </w:rPr>
        <w:t>Pregão, especialmente, à tempestividade, à forma de envio e aos dados de identificação do interessado.</w:t>
      </w:r>
      <w:r w:rsidRPr="00064CBE">
        <w:rPr>
          <w:rFonts w:eastAsia="Times New Roman"/>
          <w:sz w:val="22"/>
          <w:szCs w:val="22"/>
          <w:lang w:eastAsia="pt-BR"/>
        </w:rPr>
        <w:br/>
      </w:r>
      <w:r w:rsidRPr="00064CBE">
        <w:rPr>
          <w:rFonts w:eastAsia="Times New Roman"/>
          <w:sz w:val="22"/>
          <w:szCs w:val="22"/>
          <w:lang w:eastAsia="pt-BR"/>
        </w:rPr>
        <w:br/>
        <w:t>No que toca ao processamento da </w:t>
      </w:r>
      <w:r w:rsidRPr="00140AD8">
        <w:rPr>
          <w:rFonts w:eastAsia="Times New Roman"/>
          <w:sz w:val="22"/>
          <w:szCs w:val="22"/>
          <w:lang w:eastAsia="pt-BR"/>
        </w:rPr>
        <w:t>impugnação</w:t>
      </w:r>
      <w:r w:rsidRPr="00064CBE">
        <w:rPr>
          <w:rFonts w:eastAsia="Times New Roman"/>
          <w:sz w:val="22"/>
          <w:szCs w:val="22"/>
          <w:lang w:eastAsia="pt-BR"/>
        </w:rPr>
        <w:t xml:space="preserve">, o Edital traz em sua cláusula </w:t>
      </w:r>
      <w:r w:rsidRPr="00140AD8">
        <w:rPr>
          <w:rFonts w:eastAsia="Times New Roman"/>
          <w:sz w:val="22"/>
          <w:szCs w:val="22"/>
          <w:lang w:eastAsia="pt-BR"/>
        </w:rPr>
        <w:t>8.1</w:t>
      </w:r>
      <w:r w:rsidRPr="00064CBE">
        <w:rPr>
          <w:rFonts w:eastAsia="Times New Roman"/>
          <w:sz w:val="22"/>
          <w:szCs w:val="22"/>
          <w:lang w:eastAsia="pt-BR"/>
        </w:rPr>
        <w:t xml:space="preserve"> que “caberá ao Pregoeiro, com auxílio do setor responsável pela elaboração do edital, decidir sobre a </w:t>
      </w:r>
      <w:r w:rsidRPr="00140AD8">
        <w:rPr>
          <w:rFonts w:eastAsia="Times New Roman"/>
          <w:sz w:val="22"/>
          <w:szCs w:val="22"/>
          <w:lang w:eastAsia="pt-BR"/>
        </w:rPr>
        <w:t>impugnação</w:t>
      </w:r>
      <w:r w:rsidRPr="00064CBE">
        <w:rPr>
          <w:rFonts w:eastAsia="Times New Roman"/>
          <w:sz w:val="22"/>
          <w:szCs w:val="22"/>
          <w:lang w:eastAsia="pt-BR"/>
        </w:rPr>
        <w:t xml:space="preserve">, no prazo de até 24 (vinte e quatro) horas", e em sua cláusula </w:t>
      </w:r>
      <w:r w:rsidRPr="00140AD8">
        <w:rPr>
          <w:rFonts w:eastAsia="Times New Roman"/>
          <w:sz w:val="22"/>
          <w:szCs w:val="22"/>
          <w:lang w:eastAsia="pt-BR"/>
        </w:rPr>
        <w:t>8.2</w:t>
      </w:r>
      <w:r w:rsidRPr="00064CBE">
        <w:rPr>
          <w:rFonts w:eastAsia="Times New Roman"/>
          <w:sz w:val="22"/>
          <w:szCs w:val="22"/>
          <w:lang w:eastAsia="pt-BR"/>
        </w:rPr>
        <w:t xml:space="preserve"> assevera que “acolhida a </w:t>
      </w:r>
      <w:r w:rsidRPr="00140AD8">
        <w:rPr>
          <w:rFonts w:eastAsia="Times New Roman"/>
          <w:sz w:val="22"/>
          <w:szCs w:val="22"/>
          <w:lang w:eastAsia="pt-BR"/>
        </w:rPr>
        <w:t>impugnação</w:t>
      </w:r>
      <w:r w:rsidRPr="00064CBE">
        <w:rPr>
          <w:rFonts w:eastAsia="Times New Roman"/>
          <w:sz w:val="22"/>
          <w:szCs w:val="22"/>
          <w:lang w:eastAsia="pt-BR"/>
        </w:rPr>
        <w:t>, será fixada nova data para a realização do certame”</w:t>
      </w:r>
      <w:r w:rsidRPr="00064CBE">
        <w:rPr>
          <w:rFonts w:eastAsia="Times New Roman"/>
          <w:sz w:val="22"/>
          <w:szCs w:val="22"/>
          <w:lang w:eastAsia="pt-BR"/>
        </w:rPr>
        <w:br/>
      </w:r>
      <w:r w:rsidRPr="00064CBE">
        <w:rPr>
          <w:rFonts w:eastAsia="Times New Roman"/>
          <w:sz w:val="22"/>
          <w:szCs w:val="22"/>
          <w:lang w:eastAsia="pt-BR"/>
        </w:rPr>
        <w:br/>
        <w:t>Quanto ao julgamento da </w:t>
      </w:r>
      <w:r w:rsidRPr="00140AD8">
        <w:rPr>
          <w:rFonts w:eastAsia="Times New Roman"/>
          <w:sz w:val="22"/>
          <w:szCs w:val="22"/>
          <w:lang w:eastAsia="pt-BR"/>
        </w:rPr>
        <w:t>Impugnação</w:t>
      </w:r>
      <w:r w:rsidRPr="00064CBE">
        <w:rPr>
          <w:rFonts w:eastAsia="Times New Roman"/>
          <w:sz w:val="22"/>
          <w:szCs w:val="22"/>
          <w:lang w:eastAsia="pt-BR"/>
        </w:rPr>
        <w:t>:</w:t>
      </w:r>
    </w:p>
    <w:p w:rsidR="00064CBE" w:rsidRPr="00140AD8" w:rsidRDefault="00064CBE" w:rsidP="00064CBE">
      <w:pPr>
        <w:numPr>
          <w:ilvl w:val="0"/>
          <w:numId w:val="2"/>
        </w:numPr>
        <w:spacing w:before="100" w:beforeAutospacing="1" w:after="100" w:afterAutospacing="1" w:line="240" w:lineRule="auto"/>
        <w:ind w:left="1001"/>
        <w:jc w:val="left"/>
        <w:rPr>
          <w:rFonts w:eastAsia="Times New Roman"/>
          <w:sz w:val="22"/>
          <w:szCs w:val="22"/>
          <w:lang w:eastAsia="pt-BR"/>
        </w:rPr>
      </w:pPr>
      <w:r w:rsidRPr="00064CBE">
        <w:rPr>
          <w:rFonts w:eastAsia="Times New Roman"/>
          <w:b/>
          <w:bCs/>
          <w:sz w:val="22"/>
          <w:szCs w:val="22"/>
          <w:lang w:eastAsia="pt-BR"/>
        </w:rPr>
        <w:t>Quanto ao item I - "DOS FATOS"</w:t>
      </w:r>
      <w:r w:rsidRPr="00064CBE">
        <w:rPr>
          <w:rFonts w:eastAsia="Times New Roman"/>
          <w:sz w:val="22"/>
          <w:szCs w:val="22"/>
          <w:lang w:eastAsia="pt-BR"/>
        </w:rPr>
        <w:t> ...</w:t>
      </w:r>
      <w:r w:rsidRPr="00140AD8">
        <w:rPr>
          <w:sz w:val="22"/>
          <w:szCs w:val="22"/>
        </w:rPr>
        <w:t xml:space="preserve"> </w:t>
      </w:r>
      <w:r w:rsidRPr="00140AD8">
        <w:rPr>
          <w:rFonts w:eastAsia="Times New Roman"/>
          <w:sz w:val="22"/>
          <w:szCs w:val="22"/>
          <w:lang w:eastAsia="pt-BR"/>
        </w:rPr>
        <w:t>3.3. DA EXIGÊNCIA DE DECLARAÇÃO EMITIDA PELA FORNECEDORA DO SOFTWARE JÁ EXISTENTE NO MUNICÍPIO:</w:t>
      </w:r>
    </w:p>
    <w:p w:rsidR="001C18D2" w:rsidRPr="00140AD8" w:rsidRDefault="00064CBE" w:rsidP="00064CBE">
      <w:pPr>
        <w:spacing w:before="100" w:beforeAutospacing="1" w:after="100" w:afterAutospacing="1" w:line="240" w:lineRule="auto"/>
        <w:jc w:val="left"/>
        <w:rPr>
          <w:rFonts w:eastAsia="Times New Roman"/>
          <w:sz w:val="22"/>
          <w:szCs w:val="22"/>
          <w:lang w:eastAsia="pt-BR"/>
        </w:rPr>
      </w:pPr>
      <w:r w:rsidRPr="00064CBE">
        <w:rPr>
          <w:rFonts w:eastAsia="Times New Roman"/>
          <w:sz w:val="22"/>
          <w:szCs w:val="22"/>
          <w:lang w:eastAsia="pt-BR"/>
        </w:rPr>
        <w:t>Tal alegação não logra fundamento uma vez que nos autos poderá ser observado 04(quatro) orçamentos de empresas fornecedoras do objeto licitado, sendo 0</w:t>
      </w:r>
      <w:r w:rsidRPr="00140AD8">
        <w:rPr>
          <w:rFonts w:eastAsia="Times New Roman"/>
          <w:sz w:val="22"/>
          <w:szCs w:val="22"/>
          <w:lang w:eastAsia="pt-BR"/>
        </w:rPr>
        <w:t>1</w:t>
      </w:r>
      <w:r w:rsidR="001C18D2" w:rsidRPr="00140AD8">
        <w:rPr>
          <w:rFonts w:eastAsia="Times New Roman"/>
          <w:sz w:val="22"/>
          <w:szCs w:val="22"/>
          <w:lang w:eastAsia="pt-BR"/>
        </w:rPr>
        <w:t xml:space="preserve"> (uma) inclusive da cidade de Belo Horizonte, cidade do requerente, outras 02 </w:t>
      </w:r>
      <w:r w:rsidRPr="00064CBE">
        <w:rPr>
          <w:rFonts w:eastAsia="Times New Roman"/>
          <w:sz w:val="22"/>
          <w:szCs w:val="22"/>
          <w:lang w:eastAsia="pt-BR"/>
        </w:rPr>
        <w:t>(duas) d</w:t>
      </w:r>
      <w:r w:rsidR="001C18D2" w:rsidRPr="00140AD8">
        <w:rPr>
          <w:rFonts w:eastAsia="Times New Roman"/>
          <w:sz w:val="22"/>
          <w:szCs w:val="22"/>
          <w:lang w:eastAsia="pt-BR"/>
        </w:rPr>
        <w:t xml:space="preserve">e outras cidades de MG, e 01 </w:t>
      </w:r>
      <w:r w:rsidRPr="00064CBE">
        <w:rPr>
          <w:rFonts w:eastAsia="Times New Roman"/>
          <w:sz w:val="22"/>
          <w:szCs w:val="22"/>
          <w:lang w:eastAsia="pt-BR"/>
        </w:rPr>
        <w:t>(</w:t>
      </w:r>
      <w:r w:rsidR="001C18D2" w:rsidRPr="00140AD8">
        <w:rPr>
          <w:rFonts w:eastAsia="Times New Roman"/>
          <w:sz w:val="22"/>
          <w:szCs w:val="22"/>
          <w:lang w:eastAsia="pt-BR"/>
        </w:rPr>
        <w:t>uma</w:t>
      </w:r>
      <w:r w:rsidRPr="00064CBE">
        <w:rPr>
          <w:rFonts w:eastAsia="Times New Roman"/>
          <w:sz w:val="22"/>
          <w:szCs w:val="22"/>
          <w:lang w:eastAsia="pt-BR"/>
        </w:rPr>
        <w:t xml:space="preserve">) de outro estado, portanto não sendo aceitável a informação de </w:t>
      </w:r>
      <w:r w:rsidR="001C18D2" w:rsidRPr="00140AD8">
        <w:rPr>
          <w:rFonts w:eastAsia="Times New Roman"/>
          <w:sz w:val="22"/>
          <w:szCs w:val="22"/>
          <w:lang w:eastAsia="pt-BR"/>
        </w:rPr>
        <w:t>que não existem empresas capacitadas e autorizadas para dar suporte em nossas plataformas de controle de ponto de colaboradores. Todas as empresas que encaminharam</w:t>
      </w:r>
      <w:r w:rsidR="00140AD8">
        <w:rPr>
          <w:rFonts w:eastAsia="Times New Roman"/>
          <w:sz w:val="22"/>
          <w:szCs w:val="22"/>
          <w:lang w:eastAsia="pt-BR"/>
        </w:rPr>
        <w:t xml:space="preserve"> orçamentos</w:t>
      </w:r>
      <w:r w:rsidR="001C18D2" w:rsidRPr="00140AD8">
        <w:rPr>
          <w:rFonts w:eastAsia="Times New Roman"/>
          <w:sz w:val="22"/>
          <w:szCs w:val="22"/>
          <w:lang w:eastAsia="pt-BR"/>
        </w:rPr>
        <w:t xml:space="preserve">, sabiam dessa exigência, e </w:t>
      </w:r>
      <w:r w:rsidR="00140AD8">
        <w:rPr>
          <w:rFonts w:eastAsia="Times New Roman"/>
          <w:sz w:val="22"/>
          <w:szCs w:val="22"/>
          <w:lang w:eastAsia="pt-BR"/>
        </w:rPr>
        <w:t xml:space="preserve">alegam ter </w:t>
      </w:r>
      <w:r w:rsidR="001C18D2" w:rsidRPr="00140AD8">
        <w:rPr>
          <w:rFonts w:eastAsia="Times New Roman"/>
          <w:sz w:val="22"/>
          <w:szCs w:val="22"/>
          <w:lang w:eastAsia="pt-BR"/>
        </w:rPr>
        <w:t>como atender.</w:t>
      </w:r>
    </w:p>
    <w:p w:rsidR="001C18D2" w:rsidRPr="00140AD8" w:rsidRDefault="00140AD8" w:rsidP="00064CBE">
      <w:pPr>
        <w:spacing w:before="100" w:beforeAutospacing="1" w:after="100" w:afterAutospacing="1" w:line="240" w:lineRule="auto"/>
        <w:jc w:val="left"/>
        <w:rPr>
          <w:rFonts w:eastAsia="Times New Roman"/>
          <w:sz w:val="22"/>
          <w:szCs w:val="22"/>
          <w:lang w:eastAsia="pt-BR"/>
        </w:rPr>
      </w:pPr>
      <w:r w:rsidRPr="00140AD8">
        <w:rPr>
          <w:rFonts w:eastAsia="Times New Roman"/>
          <w:sz w:val="22"/>
          <w:szCs w:val="22"/>
          <w:lang w:eastAsia="pt-BR"/>
        </w:rPr>
        <w:t>Também</w:t>
      </w:r>
      <w:r w:rsidR="001C18D2" w:rsidRPr="00140AD8">
        <w:rPr>
          <w:rFonts w:eastAsia="Times New Roman"/>
          <w:sz w:val="22"/>
          <w:szCs w:val="22"/>
          <w:lang w:eastAsia="pt-BR"/>
        </w:rPr>
        <w:t xml:space="preserve"> entramos em contato com o fabricante da plataforma, o qual passou a informação de que </w:t>
      </w:r>
      <w:r w:rsidR="007F6F5D">
        <w:rPr>
          <w:rFonts w:eastAsia="Times New Roman"/>
          <w:sz w:val="22"/>
          <w:szCs w:val="22"/>
          <w:lang w:eastAsia="pt-BR"/>
        </w:rPr>
        <w:t>centenas</w:t>
      </w:r>
      <w:r w:rsidR="001C18D2" w:rsidRPr="00140AD8">
        <w:rPr>
          <w:rFonts w:eastAsia="Times New Roman"/>
          <w:sz w:val="22"/>
          <w:szCs w:val="22"/>
          <w:lang w:eastAsia="pt-BR"/>
        </w:rPr>
        <w:t xml:space="preserve"> de fornecedores espalhados por todo o país, tem condições absolutas de dar todo e qualquer suporte, e que, </w:t>
      </w:r>
      <w:r w:rsidR="007F6F5D">
        <w:rPr>
          <w:rFonts w:eastAsia="Times New Roman"/>
          <w:sz w:val="22"/>
          <w:szCs w:val="22"/>
          <w:lang w:eastAsia="pt-BR"/>
        </w:rPr>
        <w:t>inclusive, tem esta autorização, por serem revendas autorizadas expressamente.</w:t>
      </w:r>
    </w:p>
    <w:p w:rsidR="00064CBE" w:rsidRPr="00140AD8" w:rsidRDefault="001C18D2" w:rsidP="00064CBE">
      <w:pPr>
        <w:spacing w:before="100" w:beforeAutospacing="1" w:after="100" w:afterAutospacing="1" w:line="240" w:lineRule="auto"/>
        <w:jc w:val="left"/>
        <w:rPr>
          <w:rFonts w:eastAsia="Times New Roman"/>
          <w:sz w:val="22"/>
          <w:szCs w:val="22"/>
          <w:lang w:eastAsia="pt-BR"/>
        </w:rPr>
      </w:pPr>
      <w:r w:rsidRPr="00140AD8">
        <w:rPr>
          <w:rFonts w:eastAsia="Times New Roman"/>
          <w:sz w:val="22"/>
          <w:szCs w:val="22"/>
          <w:lang w:eastAsia="pt-BR"/>
        </w:rPr>
        <w:t xml:space="preserve">Se a empresa impugnante não possui esta declaração, como expressamente declara em sua impugnação, não entendemos como pode realizar </w:t>
      </w:r>
      <w:r w:rsidR="007D52CA" w:rsidRPr="00140AD8">
        <w:rPr>
          <w:rFonts w:eastAsia="Times New Roman"/>
          <w:sz w:val="22"/>
          <w:szCs w:val="22"/>
          <w:lang w:eastAsia="pt-BR"/>
        </w:rPr>
        <w:t>satisfatoriamente</w:t>
      </w:r>
      <w:r w:rsidRPr="00140AD8">
        <w:rPr>
          <w:rFonts w:eastAsia="Times New Roman"/>
          <w:sz w:val="22"/>
          <w:szCs w:val="22"/>
          <w:lang w:eastAsia="pt-BR"/>
        </w:rPr>
        <w:t xml:space="preserve"> as configurações necessárias, bem como afirmar que se</w:t>
      </w:r>
      <w:r w:rsidR="00B456F2" w:rsidRPr="00140AD8">
        <w:rPr>
          <w:rFonts w:eastAsia="Times New Roman"/>
          <w:sz w:val="22"/>
          <w:szCs w:val="22"/>
          <w:lang w:eastAsia="pt-BR"/>
        </w:rPr>
        <w:t>us equipamentos são compatíveis, se não conhece, se não tem treinamento necessário a estas configurações especificas desta plataforma</w:t>
      </w:r>
      <w:r w:rsidR="00140AD8">
        <w:rPr>
          <w:rFonts w:eastAsia="Times New Roman"/>
          <w:sz w:val="22"/>
          <w:szCs w:val="22"/>
          <w:lang w:eastAsia="pt-BR"/>
        </w:rPr>
        <w:t>, nem a autorização de revenda autorizada capacitada para as realizar</w:t>
      </w:r>
      <w:r w:rsidR="00B456F2" w:rsidRPr="00140AD8">
        <w:rPr>
          <w:rFonts w:eastAsia="Times New Roman"/>
          <w:sz w:val="22"/>
          <w:szCs w:val="22"/>
          <w:lang w:eastAsia="pt-BR"/>
        </w:rPr>
        <w:t>.</w:t>
      </w:r>
      <w:r w:rsidR="00140AD8">
        <w:rPr>
          <w:rFonts w:eastAsia="Times New Roman"/>
          <w:sz w:val="22"/>
          <w:szCs w:val="22"/>
          <w:lang w:eastAsia="pt-BR"/>
        </w:rPr>
        <w:t xml:space="preserve"> </w:t>
      </w:r>
      <w:r w:rsidR="007F6F5D">
        <w:rPr>
          <w:rFonts w:eastAsia="Times New Roman"/>
          <w:sz w:val="22"/>
          <w:szCs w:val="22"/>
          <w:lang w:eastAsia="pt-BR"/>
        </w:rPr>
        <w:t>Sugerimos até que se entre em contato com o fabricante, requerendo tal treinamento e habilitação para futuras implantações.</w:t>
      </w:r>
    </w:p>
    <w:p w:rsidR="00064CBE" w:rsidRPr="00064CBE" w:rsidRDefault="00064CBE" w:rsidP="00064CBE">
      <w:pPr>
        <w:spacing w:after="0" w:line="240" w:lineRule="auto"/>
        <w:jc w:val="left"/>
        <w:rPr>
          <w:rFonts w:eastAsia="Times New Roman"/>
          <w:sz w:val="22"/>
          <w:szCs w:val="22"/>
          <w:lang w:eastAsia="pt-BR"/>
        </w:rPr>
      </w:pPr>
      <w:r w:rsidRPr="00064CBE">
        <w:rPr>
          <w:rFonts w:eastAsia="Times New Roman"/>
          <w:sz w:val="22"/>
          <w:szCs w:val="22"/>
          <w:lang w:eastAsia="pt-BR"/>
        </w:rPr>
        <w:br/>
        <w:t>Com base no na Lei nº 8.666, art. 15 Visando "I - atender ao princípio da padronização, que imponha compatibilidade de especificações técnicas e de desempenho, observadas, quando for o caso, as condições de manutenção, assistência técnica e garantia oferecidas". </w:t>
      </w:r>
      <w:r w:rsidR="00B456F2" w:rsidRPr="00140AD8">
        <w:rPr>
          <w:rFonts w:eastAsia="Times New Roman"/>
          <w:sz w:val="22"/>
          <w:szCs w:val="22"/>
          <w:lang w:eastAsia="pt-BR"/>
        </w:rPr>
        <w:t xml:space="preserve">Encontram-se instalados nesta prefeitura, vários equipamentos </w:t>
      </w:r>
      <w:r w:rsidRPr="00064CBE">
        <w:rPr>
          <w:rFonts w:eastAsia="Times New Roman"/>
          <w:sz w:val="22"/>
          <w:szCs w:val="22"/>
          <w:lang w:eastAsia="pt-BR"/>
        </w:rPr>
        <w:t>relógio de Registro de </w:t>
      </w:r>
      <w:r w:rsidRPr="00140AD8">
        <w:rPr>
          <w:rFonts w:eastAsia="Times New Roman"/>
          <w:sz w:val="22"/>
          <w:szCs w:val="22"/>
          <w:lang w:eastAsia="pt-BR"/>
        </w:rPr>
        <w:t>Ponto</w:t>
      </w:r>
      <w:r w:rsidRPr="00064CBE">
        <w:rPr>
          <w:rFonts w:eastAsia="Times New Roman"/>
          <w:sz w:val="22"/>
          <w:szCs w:val="22"/>
          <w:lang w:eastAsia="pt-BR"/>
        </w:rPr>
        <w:t> Eletrônico com toda infraestrutura já instalado e funciona</w:t>
      </w:r>
      <w:r w:rsidR="00B456F2" w:rsidRPr="00140AD8">
        <w:rPr>
          <w:rFonts w:eastAsia="Times New Roman"/>
          <w:sz w:val="22"/>
          <w:szCs w:val="22"/>
          <w:lang w:eastAsia="pt-BR"/>
        </w:rPr>
        <w:t>n</w:t>
      </w:r>
      <w:r w:rsidRPr="00064CBE">
        <w:rPr>
          <w:rFonts w:eastAsia="Times New Roman"/>
          <w:sz w:val="22"/>
          <w:szCs w:val="22"/>
          <w:lang w:eastAsia="pt-BR"/>
        </w:rPr>
        <w:t>do</w:t>
      </w:r>
      <w:r w:rsidR="00B456F2" w:rsidRPr="00140AD8">
        <w:rPr>
          <w:rFonts w:eastAsia="Times New Roman"/>
          <w:sz w:val="22"/>
          <w:szCs w:val="22"/>
          <w:lang w:eastAsia="pt-BR"/>
        </w:rPr>
        <w:t xml:space="preserve"> perfeitamente conectados a esta plataforma. </w:t>
      </w:r>
    </w:p>
    <w:p w:rsidR="00064CBE" w:rsidRPr="00140AD8" w:rsidRDefault="00064CBE" w:rsidP="00064CBE">
      <w:pPr>
        <w:spacing w:before="100" w:beforeAutospacing="1" w:after="100" w:afterAutospacing="1" w:line="240" w:lineRule="auto"/>
        <w:jc w:val="left"/>
        <w:rPr>
          <w:rFonts w:eastAsia="Times New Roman"/>
          <w:sz w:val="22"/>
          <w:szCs w:val="22"/>
          <w:lang w:eastAsia="pt-BR"/>
        </w:rPr>
      </w:pPr>
      <w:r w:rsidRPr="00064CBE">
        <w:rPr>
          <w:rFonts w:eastAsia="Times New Roman"/>
          <w:sz w:val="22"/>
          <w:szCs w:val="22"/>
          <w:lang w:eastAsia="pt-BR"/>
        </w:rPr>
        <w:lastRenderedPageBreak/>
        <w:t>A Portaria nº1.510 de 21 de agosto de 2019 do Ministério de Estado do Trabalho e Emprego estabelece critério de utilização e de itens que devem compor o Registrador Eletrônico de </w:t>
      </w:r>
      <w:r w:rsidRPr="00140AD8">
        <w:rPr>
          <w:rFonts w:eastAsia="Times New Roman"/>
          <w:sz w:val="22"/>
          <w:szCs w:val="22"/>
          <w:lang w:eastAsia="pt-BR"/>
        </w:rPr>
        <w:t>Ponto</w:t>
      </w:r>
      <w:r w:rsidRPr="00064CBE">
        <w:rPr>
          <w:rFonts w:eastAsia="Times New Roman"/>
          <w:sz w:val="22"/>
          <w:szCs w:val="22"/>
          <w:lang w:eastAsia="pt-BR"/>
        </w:rPr>
        <w:t> - REP. Logo, todos os equipamentos dos diversos fabricantes têm que executar as mesmas tarefas. Contudo, a forma com que esses dados transitam pela rede de dados é peculiar a cada fabricante, cada qual tem o seu software para garantir a comunicação do REP com a central de armazenamento de dados.</w:t>
      </w:r>
    </w:p>
    <w:p w:rsidR="00B456F2" w:rsidRPr="00140AD8" w:rsidRDefault="00B456F2" w:rsidP="00064CBE">
      <w:pPr>
        <w:spacing w:before="100" w:beforeAutospacing="1" w:after="100" w:afterAutospacing="1" w:line="240" w:lineRule="auto"/>
        <w:jc w:val="left"/>
        <w:rPr>
          <w:rFonts w:eastAsia="Times New Roman"/>
          <w:sz w:val="22"/>
          <w:szCs w:val="22"/>
          <w:lang w:eastAsia="pt-BR"/>
        </w:rPr>
      </w:pPr>
      <w:r w:rsidRPr="00140AD8">
        <w:rPr>
          <w:rFonts w:eastAsia="Times New Roman"/>
          <w:sz w:val="22"/>
          <w:szCs w:val="22"/>
          <w:lang w:eastAsia="pt-BR"/>
        </w:rPr>
        <w:t>A exigência colocada, de se ter habilitação expressa para manusear a plataforma de software, não elimina fornecedores capacitados, haja vista a quantidade de empresas que se manifestaram para encaminhar os orçamentos.</w:t>
      </w:r>
      <w:r w:rsidR="007D52CA" w:rsidRPr="00140AD8">
        <w:rPr>
          <w:rFonts w:eastAsia="Times New Roman"/>
          <w:sz w:val="22"/>
          <w:szCs w:val="22"/>
          <w:lang w:eastAsia="pt-BR"/>
        </w:rPr>
        <w:t xml:space="preserve"> </w:t>
      </w:r>
    </w:p>
    <w:p w:rsidR="007D52CA" w:rsidRPr="00064CBE" w:rsidRDefault="007D52CA" w:rsidP="00064CBE">
      <w:pPr>
        <w:spacing w:before="100" w:beforeAutospacing="1" w:after="100" w:afterAutospacing="1" w:line="240" w:lineRule="auto"/>
        <w:jc w:val="left"/>
        <w:rPr>
          <w:rFonts w:eastAsia="Times New Roman"/>
          <w:sz w:val="22"/>
          <w:szCs w:val="22"/>
          <w:lang w:eastAsia="pt-BR"/>
        </w:rPr>
      </w:pPr>
      <w:r w:rsidRPr="00140AD8">
        <w:rPr>
          <w:rFonts w:eastAsia="Times New Roman"/>
          <w:sz w:val="22"/>
          <w:szCs w:val="22"/>
          <w:lang w:eastAsia="pt-BR"/>
        </w:rPr>
        <w:t>A exigência colocada, também não limita marcas de equipamentos, pois, todos aqueles que tem o protocolo compatível com a plataforma conseguirão manter o padrão.</w:t>
      </w:r>
    </w:p>
    <w:p w:rsidR="00064CBE" w:rsidRPr="00064CBE" w:rsidRDefault="00064CBE" w:rsidP="00064CBE">
      <w:pPr>
        <w:spacing w:before="100" w:beforeAutospacing="1" w:after="100" w:afterAutospacing="1" w:line="240" w:lineRule="auto"/>
        <w:jc w:val="left"/>
        <w:rPr>
          <w:rFonts w:eastAsia="Times New Roman"/>
          <w:sz w:val="22"/>
          <w:szCs w:val="22"/>
          <w:lang w:eastAsia="pt-BR"/>
        </w:rPr>
      </w:pPr>
      <w:r w:rsidRPr="00064CBE">
        <w:rPr>
          <w:rFonts w:eastAsia="Times New Roman"/>
          <w:sz w:val="22"/>
          <w:szCs w:val="22"/>
          <w:lang w:eastAsia="pt-BR"/>
        </w:rPr>
        <w:t>A súmula 270/2010 - do Tribunal de Contas da União estabelece que é possível a indicação de marca de produto, deste que devidamente justificado, conforme foi enviado a este setor as devida</w:t>
      </w:r>
      <w:r w:rsidR="00B456F2" w:rsidRPr="00140AD8">
        <w:rPr>
          <w:rFonts w:eastAsia="Times New Roman"/>
          <w:sz w:val="22"/>
          <w:szCs w:val="22"/>
          <w:lang w:eastAsia="pt-BR"/>
        </w:rPr>
        <w:t>s</w:t>
      </w:r>
      <w:r w:rsidRPr="00064CBE">
        <w:rPr>
          <w:rFonts w:eastAsia="Times New Roman"/>
          <w:sz w:val="22"/>
          <w:szCs w:val="22"/>
          <w:lang w:eastAsia="pt-BR"/>
        </w:rPr>
        <w:t xml:space="preserve"> justificativa</w:t>
      </w:r>
      <w:r w:rsidR="00B456F2" w:rsidRPr="00140AD8">
        <w:rPr>
          <w:rFonts w:eastAsia="Times New Roman"/>
          <w:sz w:val="22"/>
          <w:szCs w:val="22"/>
          <w:lang w:eastAsia="pt-BR"/>
        </w:rPr>
        <w:t>s</w:t>
      </w:r>
      <w:r w:rsidRPr="00064CBE">
        <w:rPr>
          <w:rFonts w:eastAsia="Times New Roman"/>
          <w:sz w:val="22"/>
          <w:szCs w:val="22"/>
          <w:lang w:eastAsia="pt-BR"/>
        </w:rPr>
        <w:t xml:space="preserve"> para aquisição deste objeto.</w:t>
      </w:r>
    </w:p>
    <w:p w:rsidR="00064CBE" w:rsidRPr="00140AD8" w:rsidRDefault="00064CBE" w:rsidP="00064CBE">
      <w:pPr>
        <w:spacing w:before="100" w:beforeAutospacing="1" w:after="100" w:afterAutospacing="1" w:line="240" w:lineRule="auto"/>
        <w:jc w:val="left"/>
        <w:rPr>
          <w:rFonts w:eastAsia="Times New Roman"/>
          <w:sz w:val="22"/>
          <w:szCs w:val="22"/>
          <w:lang w:eastAsia="pt-BR"/>
        </w:rPr>
      </w:pPr>
      <w:r w:rsidRPr="00064CBE">
        <w:rPr>
          <w:rFonts w:eastAsia="Times New Roman"/>
          <w:sz w:val="22"/>
          <w:szCs w:val="22"/>
          <w:lang w:eastAsia="pt-BR"/>
        </w:rPr>
        <w:t xml:space="preserve">A instalação de </w:t>
      </w:r>
      <w:r w:rsidR="00B456F2" w:rsidRPr="00140AD8">
        <w:rPr>
          <w:rFonts w:eastAsia="Times New Roman"/>
          <w:sz w:val="22"/>
          <w:szCs w:val="22"/>
          <w:lang w:eastAsia="pt-BR"/>
        </w:rPr>
        <w:t xml:space="preserve">equipamentos muito diferentes aos que aqui se encontram, que não tenham as </w:t>
      </w:r>
      <w:proofErr w:type="spellStart"/>
      <w:r w:rsidR="00B456F2" w:rsidRPr="00140AD8">
        <w:rPr>
          <w:rFonts w:eastAsia="Times New Roman"/>
          <w:sz w:val="22"/>
          <w:szCs w:val="22"/>
          <w:lang w:eastAsia="pt-BR"/>
        </w:rPr>
        <w:t>caracteristicas</w:t>
      </w:r>
      <w:proofErr w:type="spellEnd"/>
      <w:r w:rsidR="00B456F2" w:rsidRPr="00140AD8">
        <w:rPr>
          <w:rFonts w:eastAsia="Times New Roman"/>
          <w:sz w:val="22"/>
          <w:szCs w:val="22"/>
          <w:lang w:eastAsia="pt-BR"/>
        </w:rPr>
        <w:t xml:space="preserve"> solicitadas, </w:t>
      </w:r>
      <w:r w:rsidR="007D52CA" w:rsidRPr="00140AD8">
        <w:rPr>
          <w:rFonts w:eastAsia="Times New Roman"/>
          <w:sz w:val="22"/>
          <w:szCs w:val="22"/>
          <w:lang w:eastAsia="pt-BR"/>
        </w:rPr>
        <w:t xml:space="preserve">que porventura não se comuniquem adequadamente com a plataforma, </w:t>
      </w:r>
      <w:r w:rsidR="00B456F2" w:rsidRPr="00140AD8">
        <w:rPr>
          <w:rFonts w:eastAsia="Times New Roman"/>
          <w:sz w:val="22"/>
          <w:szCs w:val="22"/>
          <w:lang w:eastAsia="pt-BR"/>
        </w:rPr>
        <w:t xml:space="preserve">e cuja empresa </w:t>
      </w:r>
      <w:r w:rsidR="007D52CA" w:rsidRPr="00140AD8">
        <w:rPr>
          <w:rFonts w:eastAsia="Times New Roman"/>
          <w:sz w:val="22"/>
          <w:szCs w:val="22"/>
          <w:lang w:eastAsia="pt-BR"/>
        </w:rPr>
        <w:t xml:space="preserve">fornecedora </w:t>
      </w:r>
      <w:r w:rsidR="00B456F2" w:rsidRPr="00140AD8">
        <w:rPr>
          <w:rFonts w:eastAsia="Times New Roman"/>
          <w:sz w:val="22"/>
          <w:szCs w:val="22"/>
          <w:lang w:eastAsia="pt-BR"/>
        </w:rPr>
        <w:t xml:space="preserve">não seja expressamente habilitada em nossa plataforma de gestão de ponto de colaboradores, </w:t>
      </w:r>
      <w:r w:rsidRPr="00064CBE">
        <w:rPr>
          <w:rFonts w:eastAsia="Times New Roman"/>
          <w:sz w:val="22"/>
          <w:szCs w:val="22"/>
          <w:lang w:eastAsia="pt-BR"/>
        </w:rPr>
        <w:t xml:space="preserve">implica em ter uma ou mais nova infraestrutura sendo de dados, elétrica, armazenamento de dados e treinamento dos servidores para utilizarem </w:t>
      </w:r>
      <w:r w:rsidR="00B456F2" w:rsidRPr="00140AD8">
        <w:rPr>
          <w:rFonts w:eastAsia="Times New Roman"/>
          <w:sz w:val="22"/>
          <w:szCs w:val="22"/>
          <w:lang w:eastAsia="pt-BR"/>
        </w:rPr>
        <w:t>um</w:t>
      </w:r>
      <w:r w:rsidRPr="00064CBE">
        <w:rPr>
          <w:rFonts w:eastAsia="Times New Roman"/>
          <w:sz w:val="22"/>
          <w:szCs w:val="22"/>
          <w:lang w:eastAsia="pt-BR"/>
        </w:rPr>
        <w:t xml:space="preserve"> novo software </w:t>
      </w:r>
      <w:r w:rsidR="00B456F2" w:rsidRPr="00140AD8">
        <w:rPr>
          <w:rFonts w:eastAsia="Times New Roman"/>
          <w:sz w:val="22"/>
          <w:szCs w:val="22"/>
          <w:lang w:eastAsia="pt-BR"/>
        </w:rPr>
        <w:t xml:space="preserve">bem como </w:t>
      </w:r>
      <w:r w:rsidRPr="00064CBE">
        <w:rPr>
          <w:rFonts w:eastAsia="Times New Roman"/>
          <w:sz w:val="22"/>
          <w:szCs w:val="22"/>
          <w:lang w:eastAsia="pt-BR"/>
        </w:rPr>
        <w:t>equipe de manutenção</w:t>
      </w:r>
      <w:r w:rsidR="00B456F2" w:rsidRPr="00140AD8">
        <w:rPr>
          <w:rFonts w:eastAsia="Times New Roman"/>
          <w:sz w:val="22"/>
          <w:szCs w:val="22"/>
          <w:lang w:eastAsia="pt-BR"/>
        </w:rPr>
        <w:t xml:space="preserve"> distinta</w:t>
      </w:r>
      <w:r w:rsidRPr="00064CBE">
        <w:rPr>
          <w:rFonts w:eastAsia="Times New Roman"/>
          <w:sz w:val="22"/>
          <w:szCs w:val="22"/>
          <w:lang w:eastAsia="pt-BR"/>
        </w:rPr>
        <w:t>.</w:t>
      </w:r>
    </w:p>
    <w:p w:rsidR="005E4B96" w:rsidRPr="00140AD8" w:rsidRDefault="005E4B96" w:rsidP="00140AD8">
      <w:pPr>
        <w:spacing w:before="100" w:beforeAutospacing="1" w:after="100" w:afterAutospacing="1" w:line="240" w:lineRule="auto"/>
        <w:jc w:val="left"/>
        <w:rPr>
          <w:rFonts w:eastAsia="Times New Roman"/>
          <w:sz w:val="22"/>
          <w:szCs w:val="22"/>
          <w:lang w:eastAsia="pt-BR"/>
        </w:rPr>
      </w:pPr>
    </w:p>
    <w:p w:rsidR="005E4B96" w:rsidRPr="00064CBE" w:rsidRDefault="005E4B96" w:rsidP="00064CBE">
      <w:pPr>
        <w:spacing w:before="100" w:beforeAutospacing="1" w:after="100" w:afterAutospacing="1" w:line="240" w:lineRule="auto"/>
        <w:jc w:val="left"/>
        <w:rPr>
          <w:rFonts w:eastAsia="Times New Roman"/>
          <w:sz w:val="22"/>
          <w:szCs w:val="22"/>
          <w:lang w:eastAsia="pt-BR"/>
        </w:rPr>
      </w:pPr>
    </w:p>
    <w:p w:rsidR="00064CBE" w:rsidRPr="00064CBE" w:rsidRDefault="00064CBE" w:rsidP="00064CBE">
      <w:pPr>
        <w:numPr>
          <w:ilvl w:val="0"/>
          <w:numId w:val="4"/>
        </w:numPr>
        <w:spacing w:before="100" w:beforeAutospacing="1" w:after="100" w:afterAutospacing="1" w:line="240" w:lineRule="auto"/>
        <w:ind w:left="1001"/>
        <w:jc w:val="left"/>
        <w:rPr>
          <w:rFonts w:eastAsia="Times New Roman"/>
          <w:sz w:val="22"/>
          <w:szCs w:val="22"/>
          <w:lang w:eastAsia="pt-BR"/>
        </w:rPr>
      </w:pPr>
      <w:r w:rsidRPr="00064CBE">
        <w:rPr>
          <w:rFonts w:eastAsia="Times New Roman"/>
          <w:b/>
          <w:bCs/>
          <w:sz w:val="22"/>
          <w:szCs w:val="22"/>
          <w:lang w:eastAsia="pt-BR"/>
        </w:rPr>
        <w:t xml:space="preserve">Quanto ao item </w:t>
      </w:r>
      <w:r w:rsidR="00B456F2" w:rsidRPr="00140AD8">
        <w:rPr>
          <w:rFonts w:eastAsia="Times New Roman"/>
          <w:b/>
          <w:bCs/>
          <w:sz w:val="22"/>
          <w:szCs w:val="22"/>
          <w:lang w:eastAsia="pt-BR"/>
        </w:rPr>
        <w:t>V</w:t>
      </w:r>
      <w:r w:rsidRPr="00064CBE">
        <w:rPr>
          <w:rFonts w:eastAsia="Times New Roman"/>
          <w:b/>
          <w:bCs/>
          <w:sz w:val="22"/>
          <w:szCs w:val="22"/>
          <w:lang w:eastAsia="pt-BR"/>
        </w:rPr>
        <w:t xml:space="preserve"> - "DO PEDIDO"  da </w:t>
      </w:r>
      <w:r w:rsidRPr="00140AD8">
        <w:rPr>
          <w:rFonts w:eastAsia="Times New Roman"/>
          <w:b/>
          <w:bCs/>
          <w:sz w:val="22"/>
          <w:szCs w:val="22"/>
          <w:lang w:eastAsia="pt-BR"/>
        </w:rPr>
        <w:t>impugnação</w:t>
      </w:r>
      <w:r w:rsidRPr="00064CBE">
        <w:rPr>
          <w:rFonts w:eastAsia="Times New Roman"/>
          <w:b/>
          <w:bCs/>
          <w:sz w:val="22"/>
          <w:szCs w:val="22"/>
          <w:lang w:eastAsia="pt-BR"/>
        </w:rPr>
        <w:t>:</w:t>
      </w:r>
    </w:p>
    <w:p w:rsidR="00064CBE" w:rsidRPr="00064CBE" w:rsidRDefault="00064CBE" w:rsidP="00B456F2">
      <w:pPr>
        <w:spacing w:after="0" w:line="240" w:lineRule="auto"/>
        <w:jc w:val="left"/>
        <w:rPr>
          <w:rFonts w:eastAsia="Times New Roman"/>
          <w:sz w:val="22"/>
          <w:szCs w:val="22"/>
          <w:lang w:eastAsia="pt-BR"/>
        </w:rPr>
      </w:pPr>
      <w:r w:rsidRPr="00064CBE">
        <w:rPr>
          <w:rFonts w:eastAsia="Times New Roman"/>
          <w:sz w:val="22"/>
          <w:szCs w:val="22"/>
          <w:lang w:eastAsia="pt-BR"/>
        </w:rPr>
        <w:br/>
      </w:r>
      <w:r w:rsidRPr="00064CBE">
        <w:rPr>
          <w:rFonts w:eastAsia="Times New Roman"/>
          <w:i/>
          <w:iCs/>
          <w:sz w:val="22"/>
          <w:szCs w:val="22"/>
          <w:lang w:eastAsia="pt-BR"/>
        </w:rPr>
        <w:t>"</w:t>
      </w:r>
      <w:r w:rsidR="00B456F2" w:rsidRPr="00140AD8">
        <w:rPr>
          <w:rFonts w:eastAsia="Times New Roman"/>
          <w:i/>
          <w:iCs/>
          <w:sz w:val="22"/>
          <w:szCs w:val="22"/>
          <w:lang w:eastAsia="pt-BR"/>
        </w:rPr>
        <w:t>seja providenciada a retificação do instrumento convocatório – EDITAL DE PREGÃO PRESENCIAL N.º 011/2020,..."</w:t>
      </w:r>
      <w:r w:rsidRPr="00064CBE">
        <w:rPr>
          <w:rFonts w:eastAsia="Times New Roman"/>
          <w:sz w:val="22"/>
          <w:szCs w:val="22"/>
          <w:lang w:eastAsia="pt-BR"/>
        </w:rPr>
        <w:t>.</w:t>
      </w:r>
    </w:p>
    <w:p w:rsidR="00064CBE" w:rsidRPr="00064CBE" w:rsidRDefault="00064CBE" w:rsidP="00B456F2">
      <w:pPr>
        <w:spacing w:after="0" w:line="240" w:lineRule="auto"/>
        <w:jc w:val="left"/>
        <w:rPr>
          <w:rFonts w:eastAsia="Times New Roman"/>
          <w:color w:val="000000"/>
          <w:sz w:val="22"/>
          <w:szCs w:val="22"/>
          <w:lang w:eastAsia="pt-BR"/>
        </w:rPr>
      </w:pPr>
      <w:r w:rsidRPr="00064CBE">
        <w:rPr>
          <w:rFonts w:eastAsia="Times New Roman"/>
          <w:sz w:val="22"/>
          <w:szCs w:val="22"/>
          <w:lang w:eastAsia="pt-BR"/>
        </w:rPr>
        <w:br/>
      </w:r>
      <w:r w:rsidRPr="00064CBE">
        <w:rPr>
          <w:rFonts w:eastAsia="Times New Roman"/>
          <w:sz w:val="22"/>
          <w:szCs w:val="22"/>
          <w:lang w:eastAsia="pt-BR"/>
        </w:rPr>
        <w:br/>
      </w:r>
      <w:r w:rsidRPr="00064CBE">
        <w:rPr>
          <w:rFonts w:eastAsia="Times New Roman"/>
          <w:color w:val="000000"/>
          <w:sz w:val="22"/>
          <w:szCs w:val="22"/>
          <w:lang w:eastAsia="pt-BR"/>
        </w:rPr>
        <w:t xml:space="preserve">Não cabe neste caso acatar </w:t>
      </w:r>
      <w:r w:rsidR="00B456F2" w:rsidRPr="00140AD8">
        <w:rPr>
          <w:rFonts w:eastAsia="Times New Roman"/>
          <w:color w:val="000000"/>
          <w:sz w:val="22"/>
          <w:szCs w:val="22"/>
          <w:lang w:eastAsia="pt-BR"/>
        </w:rPr>
        <w:t xml:space="preserve"> </w:t>
      </w:r>
      <w:r w:rsidRPr="00064CBE">
        <w:rPr>
          <w:rFonts w:eastAsia="Times New Roman"/>
          <w:color w:val="000000"/>
          <w:sz w:val="22"/>
          <w:szCs w:val="22"/>
          <w:lang w:eastAsia="pt-BR"/>
        </w:rPr>
        <w:t>tal sugestão visto que será mantido o edital e anexos em seus termos originais.</w:t>
      </w:r>
    </w:p>
    <w:p w:rsidR="00FC0058" w:rsidRPr="00140AD8" w:rsidRDefault="00FC0058">
      <w:pPr>
        <w:rPr>
          <w:sz w:val="22"/>
          <w:szCs w:val="22"/>
        </w:rPr>
      </w:pPr>
    </w:p>
    <w:sectPr w:rsidR="00FC0058" w:rsidRPr="00140AD8" w:rsidSect="00FC0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0F96"/>
    <w:multiLevelType w:val="multilevel"/>
    <w:tmpl w:val="3C1E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24350E"/>
    <w:multiLevelType w:val="multilevel"/>
    <w:tmpl w:val="411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175AA9"/>
    <w:multiLevelType w:val="multilevel"/>
    <w:tmpl w:val="AD26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0D7BF8"/>
    <w:multiLevelType w:val="multilevel"/>
    <w:tmpl w:val="38BA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FE1E6D"/>
    <w:multiLevelType w:val="multilevel"/>
    <w:tmpl w:val="FCA6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F52C6"/>
    <w:multiLevelType w:val="multilevel"/>
    <w:tmpl w:val="CF4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1D08"/>
    <w:rsid w:val="00064CBE"/>
    <w:rsid w:val="00140AD8"/>
    <w:rsid w:val="001C18D2"/>
    <w:rsid w:val="001F4F60"/>
    <w:rsid w:val="004A4AF1"/>
    <w:rsid w:val="004F5E17"/>
    <w:rsid w:val="00533F9D"/>
    <w:rsid w:val="005C09F8"/>
    <w:rsid w:val="005E4B96"/>
    <w:rsid w:val="00623502"/>
    <w:rsid w:val="006900A7"/>
    <w:rsid w:val="006C5DC4"/>
    <w:rsid w:val="007D52CA"/>
    <w:rsid w:val="007F6F5D"/>
    <w:rsid w:val="00877554"/>
    <w:rsid w:val="009A1D4C"/>
    <w:rsid w:val="00A5334A"/>
    <w:rsid w:val="00AB1D08"/>
    <w:rsid w:val="00B456F2"/>
    <w:rsid w:val="00D74459"/>
    <w:rsid w:val="00DC11AA"/>
    <w:rsid w:val="00DD0566"/>
    <w:rsid w:val="00F77CD1"/>
    <w:rsid w:val="00FC0058"/>
    <w:rsid w:val="00FF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360"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4C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character" w:customStyle="1" w:styleId="il">
    <w:name w:val="il"/>
    <w:basedOn w:val="Fontepargpadro"/>
    <w:rsid w:val="00064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6426A-BAAB-45B3-AFFD-22B89404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4</cp:revision>
  <dcterms:created xsi:type="dcterms:W3CDTF">2020-03-26T14:42:00Z</dcterms:created>
  <dcterms:modified xsi:type="dcterms:W3CDTF">2020-03-26T14:51:00Z</dcterms:modified>
</cp:coreProperties>
</file>