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 xml:space="preserve">Nesses casos, não se está a limitar a competitividade e ferir a isonomia. Trata-se, na verdade, de uma alternativa da Administração para selecionar um objeto que atenda de modo escorreito às suas necessidades. Partindo dessa premissa, Marçal </w:t>
      </w:r>
      <w:proofErr w:type="spellStart"/>
      <w:r w:rsidRPr="00140AD8">
        <w:rPr>
          <w:rFonts w:eastAsia="Times New Roman"/>
          <w:sz w:val="22"/>
          <w:szCs w:val="22"/>
          <w:lang w:eastAsia="pt-BR"/>
        </w:rPr>
        <w:t>Justen</w:t>
      </w:r>
      <w:proofErr w:type="spellEnd"/>
      <w:r w:rsidRPr="00140AD8">
        <w:rPr>
          <w:rFonts w:eastAsia="Times New Roman"/>
          <w:sz w:val="22"/>
          <w:szCs w:val="22"/>
          <w:lang w:eastAsia="pt-BR"/>
        </w:rPr>
        <w:t xml:space="preserve"> Filho assim analisa o tema: "</w:t>
      </w:r>
      <w:r w:rsidRPr="00140AD8">
        <w:rPr>
          <w:rFonts w:eastAsia="Times New Roman"/>
          <w:i/>
          <w:sz w:val="22"/>
          <w:szCs w:val="22"/>
          <w:lang w:eastAsia="pt-BR"/>
        </w:rPr>
        <w:t xml:space="preserve">Não é necessário reiterar a ausência de confusão entre os conceitos de padronização e preferência por marca. A padronização pode resultar na seleção de um produto identificável por meio de uma marca. Logo, o resultado será a escolha pela Administração de uma “marca” determinada, a qual será utilizada posteriormente para identificar os objetos que serão contratados. Isso não se traduz em qualquer tipo de atuação reprovável, não infringe à Constituição nem viola a Lei nº 8.666. O que se veda é a preferência subjetiva e arbitrária por um produto, fundada exclusivamente na marca. Não há </w:t>
      </w:r>
      <w:proofErr w:type="spellStart"/>
      <w:r w:rsidRPr="00140AD8">
        <w:rPr>
          <w:rFonts w:eastAsia="Times New Roman"/>
          <w:i/>
          <w:sz w:val="22"/>
          <w:szCs w:val="22"/>
          <w:lang w:eastAsia="pt-BR"/>
        </w:rPr>
        <w:t>infringência</w:t>
      </w:r>
      <w:proofErr w:type="spellEnd"/>
      <w:r w:rsidRPr="00140AD8">
        <w:rPr>
          <w:rFonts w:eastAsia="Times New Roman"/>
          <w:i/>
          <w:sz w:val="22"/>
          <w:szCs w:val="22"/>
          <w:lang w:eastAsia="pt-BR"/>
        </w:rPr>
        <w:t xml:space="preserve"> quando se elege um produto (serviço etc.) em virtude de qualidades específicas, utilizando-se sua marca apenas como instrumento de identificação. No caso, não há preferência pela marca, mas pelo objeto. A marca é, tão somente, o meio pelo qual se individualiza o objeto que se escolheu (JUSTEN FILHO, 2011, p.186/187)."</w:t>
      </w:r>
    </w:p>
    <w:p w:rsidR="00634249" w:rsidRPr="00140AD8" w:rsidRDefault="00634249" w:rsidP="00634249">
      <w:pPr>
        <w:spacing w:before="100" w:beforeAutospacing="1" w:after="100" w:afterAutospacing="1" w:line="240" w:lineRule="auto"/>
        <w:jc w:val="left"/>
        <w:rPr>
          <w:rFonts w:eastAsia="Times New Roman"/>
          <w:i/>
          <w:sz w:val="22"/>
          <w:szCs w:val="22"/>
          <w:lang w:eastAsia="pt-BR"/>
        </w:rPr>
      </w:pPr>
      <w:r w:rsidRPr="00140AD8">
        <w:rPr>
          <w:rFonts w:eastAsia="Times New Roman"/>
          <w:sz w:val="22"/>
          <w:szCs w:val="22"/>
          <w:lang w:eastAsia="pt-BR"/>
        </w:rPr>
        <w:t>De outro lado, cumpre destacar que o Tribunal de Contas de União já decidiu por reiteradas vezes pela possibilidade de indicação de marca no edital de licitação. Contudo, o TCU confere caráter de excepcionalidade à citada conduta. Assim, a orientação é no sentido de que há necessidade de apresentação, em uma decisão prévia e fundamentada do gestor público, de elementos técnicos e/ou econômicos que justifiquem a indicação da marca. Nesse sentido, confira-se o seguinte aresto: "</w:t>
      </w:r>
      <w:r w:rsidRPr="00140AD8">
        <w:rPr>
          <w:rFonts w:eastAsia="Times New Roman"/>
          <w:i/>
          <w:sz w:val="22"/>
          <w:szCs w:val="22"/>
          <w:lang w:eastAsia="pt-BR"/>
        </w:rPr>
        <w:t xml:space="preserve">Esta Corte de Contas, em diversos julgados, tem se manifestado pela possibilidade excepcional de indicação de marca em licitações, desde que fundadas em razões de ordem técnica ou econômica, devidamente justificadas pelo gestor, hipóteses nas quais não há ofensa ao princípio da isonomia, nem tampouco restrições ao caráter competitivo do certame (Decisão n. 664/2001 - Plenário;Acórdão n. 1.010/2005 - Plenário e Acórdão n. 1.685/2004 - </w:t>
      </w:r>
      <w:proofErr w:type="spellStart"/>
      <w:r w:rsidRPr="00140AD8">
        <w:rPr>
          <w:rFonts w:eastAsia="Times New Roman"/>
          <w:i/>
          <w:sz w:val="22"/>
          <w:szCs w:val="22"/>
          <w:lang w:eastAsia="pt-BR"/>
        </w:rPr>
        <w:t>2ªCâmara</w:t>
      </w:r>
      <w:proofErr w:type="spellEnd"/>
      <w:r w:rsidRPr="00140AD8">
        <w:rPr>
          <w:rFonts w:eastAsia="Times New Roman"/>
          <w:i/>
          <w:sz w:val="22"/>
          <w:szCs w:val="22"/>
          <w:lang w:eastAsia="pt-BR"/>
        </w:rPr>
        <w:t xml:space="preserve">). (TCU, Acórdão 1.122/2010,Primeira Câmara, Rel. Min. Marcos </w:t>
      </w:r>
      <w:proofErr w:type="spellStart"/>
      <w:r w:rsidRPr="00140AD8">
        <w:rPr>
          <w:rFonts w:eastAsia="Times New Roman"/>
          <w:i/>
          <w:sz w:val="22"/>
          <w:szCs w:val="22"/>
          <w:lang w:eastAsia="pt-BR"/>
        </w:rPr>
        <w:t>Bemquerer</w:t>
      </w:r>
      <w:proofErr w:type="spellEnd"/>
      <w:r w:rsidRPr="00140AD8">
        <w:rPr>
          <w:rFonts w:eastAsia="Times New Roman"/>
          <w:i/>
          <w:sz w:val="22"/>
          <w:szCs w:val="22"/>
          <w:lang w:eastAsia="pt-BR"/>
        </w:rPr>
        <w:t xml:space="preserve"> Costa, DOU 12/03/2010)."</w:t>
      </w:r>
    </w:p>
    <w:p w:rsidR="00634249" w:rsidRPr="00140AD8" w:rsidRDefault="00634249" w:rsidP="00634249">
      <w:pPr>
        <w:spacing w:before="100" w:beforeAutospacing="1" w:after="100" w:afterAutospacing="1" w:line="240" w:lineRule="auto"/>
        <w:jc w:val="left"/>
        <w:rPr>
          <w:rFonts w:eastAsia="Times New Roman"/>
          <w:i/>
          <w:sz w:val="22"/>
          <w:szCs w:val="22"/>
          <w:lang w:eastAsia="pt-BR"/>
        </w:rPr>
      </w:pPr>
      <w:r w:rsidRPr="00140AD8">
        <w:rPr>
          <w:rFonts w:eastAsia="Times New Roman"/>
          <w:sz w:val="22"/>
          <w:szCs w:val="22"/>
          <w:lang w:eastAsia="pt-BR"/>
        </w:rPr>
        <w:t>É necessário que, além da marca indicada no instrumento convocatório, este também preveja a aceitação de objetos de outras marcas, desde que estes outros objetos tenham qualidade igual ou superior ao da marca indicada. Cita-se, em exemplo, o seguinte acórdão do TCU:"</w:t>
      </w:r>
      <w:r w:rsidRPr="00140AD8">
        <w:rPr>
          <w:rFonts w:eastAsia="Times New Roman"/>
          <w:i/>
          <w:sz w:val="22"/>
          <w:szCs w:val="22"/>
          <w:lang w:eastAsia="pt-BR"/>
        </w:rPr>
        <w:t xml:space="preserve">REPRESENTAÇÃO. SUPOSTAS IRREGULA-RIDADES NA REALIZAÇÃO DE PREGÃO ELETRÔNICO.ESPECIFICAÇÃO DE MARCA. CONHECIMENTO. PROCEDÊNCIA. FIXAÇÃO DE PRAZO PARAPROVIDÊNICAS NECESSÁRIAS À ANULAÇÃO DO CERTAME. DETERMINAÇÕES.1. É ilegal a indicação de marcas, nos termos do § 7º do art. 15 da Lei 8.666/93, salvo quando devidamente justificada por critérios técnicos ou expressamente indicativa da qualidade </w:t>
      </w:r>
      <w:proofErr w:type="spellStart"/>
      <w:r w:rsidRPr="00140AD8">
        <w:rPr>
          <w:rFonts w:eastAsia="Times New Roman"/>
          <w:i/>
          <w:sz w:val="22"/>
          <w:szCs w:val="22"/>
          <w:lang w:eastAsia="pt-BR"/>
        </w:rPr>
        <w:t>domaterial</w:t>
      </w:r>
      <w:proofErr w:type="spellEnd"/>
      <w:r w:rsidRPr="00140AD8">
        <w:rPr>
          <w:rFonts w:eastAsia="Times New Roman"/>
          <w:i/>
          <w:sz w:val="22"/>
          <w:szCs w:val="22"/>
          <w:lang w:eastAsia="pt-BR"/>
        </w:rPr>
        <w:t xml:space="preserve"> a ser adquirido. 2.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3. Pode, ainda,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(TCU, Acórdão 2.300/2007, Plenário, Rel. </w:t>
      </w:r>
      <w:proofErr w:type="spellStart"/>
      <w:r w:rsidRPr="00140AD8">
        <w:rPr>
          <w:rFonts w:eastAsia="Times New Roman"/>
          <w:i/>
          <w:sz w:val="22"/>
          <w:szCs w:val="22"/>
          <w:lang w:eastAsia="pt-BR"/>
        </w:rPr>
        <w:t>Min.Aroldo</w:t>
      </w:r>
      <w:proofErr w:type="spellEnd"/>
      <w:r w:rsidRPr="00140AD8">
        <w:rPr>
          <w:rFonts w:eastAsia="Times New Roman"/>
          <w:i/>
          <w:sz w:val="22"/>
          <w:szCs w:val="22"/>
          <w:lang w:eastAsia="pt-BR"/>
        </w:rPr>
        <w:t xml:space="preserve"> </w:t>
      </w:r>
      <w:proofErr w:type="spellStart"/>
      <w:r w:rsidRPr="00140AD8">
        <w:rPr>
          <w:rFonts w:eastAsia="Times New Roman"/>
          <w:i/>
          <w:sz w:val="22"/>
          <w:szCs w:val="22"/>
          <w:lang w:eastAsia="pt-BR"/>
        </w:rPr>
        <w:t>Cedraz</w:t>
      </w:r>
      <w:proofErr w:type="spellEnd"/>
      <w:r w:rsidRPr="00140AD8">
        <w:rPr>
          <w:rFonts w:eastAsia="Times New Roman"/>
          <w:i/>
          <w:sz w:val="22"/>
          <w:szCs w:val="22"/>
          <w:lang w:eastAsia="pt-BR"/>
        </w:rPr>
        <w:t>, DOU 05/11/2007).</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Diante dessas reiteradas decisões convergentes, o Tribunal de Contas da União acabou por editar o enunciado nº 270 da súmula da sua jurisprudência dominante, vazado nos seguintes termos: “Em licitações referentes a compras, inclusive de softwares, é possível a indicação de marca, desde que seja estritamente necessária para atender exigências de padronização e que haja prévia justificação”.</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lastRenderedPageBreak/>
        <w:t>O verbete nº 270 é do ano de 2012 e tem como fundamento legal exatamente o inciso I, do art. 15, da Lei nº 8.666/1993, o qual prevê expressamente o princípio da padronização: Art. 15. As compras, sempre que possível, deverão: I - atender ao princípio da padronização, que imponha compatibilidade de especificações técnicas e de desempenho, observadas, quando for o caso, as condições de manutenção, assistência técnica e garantia oferecidas.</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Como se observa da jurisprudência do Tribunal de Contas da União, a indicação de marca é admitida para fins de padronização, devendo ser assegurado o caráter competitivo do certame.</w:t>
      </w:r>
    </w:p>
    <w:p w:rsidR="00634249" w:rsidRPr="00140AD8" w:rsidRDefault="00634249" w:rsidP="00634249">
      <w:pPr>
        <w:spacing w:before="100" w:beforeAutospacing="1" w:after="100" w:afterAutospacing="1" w:line="240" w:lineRule="auto"/>
        <w:jc w:val="left"/>
        <w:rPr>
          <w:rFonts w:eastAsia="Times New Roman"/>
          <w:i/>
          <w:sz w:val="22"/>
          <w:szCs w:val="22"/>
          <w:lang w:eastAsia="pt-BR"/>
        </w:rPr>
      </w:pPr>
      <w:r w:rsidRPr="00140AD8">
        <w:rPr>
          <w:rFonts w:eastAsia="Times New Roman"/>
          <w:sz w:val="22"/>
          <w:szCs w:val="22"/>
          <w:lang w:eastAsia="pt-BR"/>
        </w:rPr>
        <w:t xml:space="preserve">A doutrina cuidou de conceituar, de modo científico, a padronização, conforme se observa do magistério de Marçal </w:t>
      </w:r>
      <w:proofErr w:type="spellStart"/>
      <w:r w:rsidRPr="00140AD8">
        <w:rPr>
          <w:rFonts w:eastAsia="Times New Roman"/>
          <w:sz w:val="22"/>
          <w:szCs w:val="22"/>
          <w:lang w:eastAsia="pt-BR"/>
        </w:rPr>
        <w:t>Justen</w:t>
      </w:r>
      <w:proofErr w:type="spellEnd"/>
      <w:r w:rsidRPr="00140AD8">
        <w:rPr>
          <w:rFonts w:eastAsia="Times New Roman"/>
          <w:sz w:val="22"/>
          <w:szCs w:val="22"/>
          <w:lang w:eastAsia="pt-BR"/>
        </w:rPr>
        <w:t xml:space="preserve"> Filho: </w:t>
      </w:r>
      <w:r w:rsidRPr="00140AD8">
        <w:rPr>
          <w:rFonts w:eastAsia="Times New Roman"/>
          <w:i/>
          <w:sz w:val="22"/>
          <w:szCs w:val="22"/>
          <w:lang w:eastAsia="pt-BR"/>
        </w:rPr>
        <w:t xml:space="preserve">A padronização é regra. No caso, a Administração deverá ter em vista aquisições passadas e futuras. A padronização aplica-se não apenas a uma compra </w:t>
      </w:r>
      <w:proofErr w:type="spellStart"/>
      <w:r w:rsidRPr="00140AD8">
        <w:rPr>
          <w:rFonts w:eastAsia="Times New Roman"/>
          <w:i/>
          <w:sz w:val="22"/>
          <w:szCs w:val="22"/>
          <w:lang w:eastAsia="pt-BR"/>
        </w:rPr>
        <w:t>especí</w:t>
      </w:r>
      <w:r w:rsidRPr="00140AD8">
        <w:rPr>
          <w:rFonts w:eastAsia="MS Gothic" w:hAnsi="MS Gothic"/>
          <w:i/>
          <w:sz w:val="22"/>
          <w:szCs w:val="22"/>
          <w:lang w:eastAsia="pt-BR"/>
        </w:rPr>
        <w:t>ホ</w:t>
      </w:r>
      <w:r w:rsidRPr="00140AD8">
        <w:rPr>
          <w:rFonts w:eastAsia="Times New Roman"/>
          <w:i/>
          <w:sz w:val="22"/>
          <w:szCs w:val="22"/>
          <w:lang w:eastAsia="pt-BR"/>
        </w:rPr>
        <w:t>ca</w:t>
      </w:r>
      <w:proofErr w:type="spellEnd"/>
      <w:r w:rsidRPr="00140AD8">
        <w:rPr>
          <w:rFonts w:eastAsia="Times New Roman"/>
          <w:i/>
          <w:sz w:val="22"/>
          <w:szCs w:val="22"/>
          <w:lang w:eastAsia="pt-BR"/>
        </w:rPr>
        <w:t xml:space="preserve">, especialmente quando se trate de bem de vida útil continuada. Ao selecionar o fornecedor para produtos não consumíveis, a Administração deverá ter em vista produtos semelhantes que já integram o patrimônio público, como também deverá prever eventuais futuras aquisições. Somente assim a padronização produzirá os efeitos desejados, consistentes na redução de custos de manutenção, simplificação de </w:t>
      </w:r>
      <w:proofErr w:type="spellStart"/>
      <w:r w:rsidRPr="00140AD8">
        <w:rPr>
          <w:rFonts w:eastAsia="Times New Roman"/>
          <w:i/>
          <w:sz w:val="22"/>
          <w:szCs w:val="22"/>
          <w:lang w:eastAsia="pt-BR"/>
        </w:rPr>
        <w:t>mão-de-obra</w:t>
      </w:r>
      <w:proofErr w:type="spellEnd"/>
      <w:r w:rsidRPr="00140AD8">
        <w:rPr>
          <w:rFonts w:eastAsia="Times New Roman"/>
          <w:i/>
          <w:sz w:val="22"/>
          <w:szCs w:val="22"/>
          <w:lang w:eastAsia="pt-BR"/>
        </w:rPr>
        <w:t xml:space="preserve"> </w:t>
      </w:r>
      <w:proofErr w:type="spellStart"/>
      <w:r w:rsidRPr="00140AD8">
        <w:rPr>
          <w:rFonts w:eastAsia="Times New Roman"/>
          <w:i/>
          <w:sz w:val="22"/>
          <w:szCs w:val="22"/>
          <w:lang w:eastAsia="pt-BR"/>
        </w:rPr>
        <w:t>etc</w:t>
      </w:r>
      <w:proofErr w:type="spellEnd"/>
      <w:r w:rsidRPr="00140AD8">
        <w:rPr>
          <w:rFonts w:eastAsia="Times New Roman"/>
          <w:i/>
          <w:sz w:val="22"/>
          <w:szCs w:val="22"/>
          <w:lang w:eastAsia="pt-BR"/>
        </w:rPr>
        <w:t xml:space="preserve"> (JUSTEN FILHO, 2011, p. 184).</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Por sua vez, Jessé Torres Pereira Júnior contribui de maneira singular ao estabelecer os requisitos para a padronização, sendo:</w:t>
      </w:r>
      <w:r w:rsidRPr="00140AD8">
        <w:rPr>
          <w:rFonts w:eastAsia="Times New Roman"/>
          <w:i/>
          <w:sz w:val="22"/>
          <w:szCs w:val="22"/>
          <w:lang w:eastAsia="pt-BR"/>
        </w:rPr>
        <w:t xml:space="preserve"> "a - a padronização depende de estudo técnico que sustente, fundamentadamente, ser a solução correta para aquisição de determinado produto (...); b - padronização não pode ser, toda evidência, o disfarce de um capricho do administrador (...), c - (...) estudos, lançados em relatórios </w:t>
      </w:r>
      <w:proofErr w:type="spellStart"/>
      <w:r w:rsidRPr="00140AD8">
        <w:rPr>
          <w:rFonts w:eastAsia="Times New Roman"/>
          <w:i/>
          <w:sz w:val="22"/>
          <w:szCs w:val="22"/>
          <w:lang w:eastAsia="pt-BR"/>
        </w:rPr>
        <w:t>técnicocientíficos</w:t>
      </w:r>
      <w:proofErr w:type="spellEnd"/>
      <w:r w:rsidRPr="00140AD8">
        <w:rPr>
          <w:rFonts w:eastAsia="Times New Roman"/>
          <w:i/>
          <w:sz w:val="22"/>
          <w:szCs w:val="22"/>
          <w:lang w:eastAsia="pt-BR"/>
        </w:rPr>
        <w:t>, constituem requisito da padronização (PEREIRA JÚNIOR, 2003, p. 177)."</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Pelo que se observa, a marca pode ser indicada quando representar vantagens para a Administração, a qual, empregando bens de uma mesma linha produtiva, observará redução de custos e aumento de qualidade.</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Trata-se, na verdade, de uma necessidade da Administração de se organizar para atuar melhor, prestar serviços públicos mais eficientes, objetivando sempre a tutela do interesse público.</w:t>
      </w:r>
    </w:p>
    <w:p w:rsidR="00634249" w:rsidRPr="00140AD8" w:rsidRDefault="00634249" w:rsidP="00634249">
      <w:pPr>
        <w:spacing w:before="100" w:beforeAutospacing="1" w:after="100" w:afterAutospacing="1" w:line="240" w:lineRule="auto"/>
        <w:jc w:val="left"/>
        <w:rPr>
          <w:rFonts w:eastAsia="Times New Roman"/>
          <w:sz w:val="22"/>
          <w:szCs w:val="22"/>
          <w:lang w:eastAsia="pt-BR"/>
        </w:rPr>
      </w:pPr>
      <w:r w:rsidRPr="00140AD8">
        <w:rPr>
          <w:rFonts w:eastAsia="Times New Roman"/>
          <w:sz w:val="22"/>
          <w:szCs w:val="22"/>
          <w:lang w:eastAsia="pt-BR"/>
        </w:rPr>
        <w:t>Destarte, é um meio para a consecução do princípio da boa administração.</w:t>
      </w:r>
    </w:p>
    <w:p w:rsidR="00FC0058" w:rsidRDefault="00FC0058"/>
    <w:sectPr w:rsidR="00FC0058" w:rsidSect="00FC00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4249"/>
    <w:rsid w:val="001F4F60"/>
    <w:rsid w:val="004F5E17"/>
    <w:rsid w:val="00533F9D"/>
    <w:rsid w:val="005C09F8"/>
    <w:rsid w:val="00623502"/>
    <w:rsid w:val="00634249"/>
    <w:rsid w:val="006C5DC4"/>
    <w:rsid w:val="009A1D4C"/>
    <w:rsid w:val="00A5334A"/>
    <w:rsid w:val="00D12F95"/>
    <w:rsid w:val="00DD0566"/>
    <w:rsid w:val="00FC0058"/>
    <w:rsid w:val="00FF16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36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5340</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Diretoria</cp:lastModifiedBy>
  <cp:revision>1</cp:revision>
  <dcterms:created xsi:type="dcterms:W3CDTF">2020-03-26T14:43:00Z</dcterms:created>
  <dcterms:modified xsi:type="dcterms:W3CDTF">2020-03-26T14:44:00Z</dcterms:modified>
</cp:coreProperties>
</file>